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3DEC" w14:textId="77777777" w:rsidR="00AB6D84" w:rsidRPr="00AB6D84" w:rsidRDefault="00AB6D84" w:rsidP="00AB6D84">
      <w:pPr>
        <w:rPr>
          <w:b/>
          <w:bCs/>
        </w:rPr>
      </w:pPr>
      <w:r w:rsidRPr="00AB6D84">
        <w:rPr>
          <w:b/>
          <w:bCs/>
        </w:rPr>
        <w:t>Kommunalfinanzen &amp; Gebühren</w:t>
      </w:r>
    </w:p>
    <w:p w14:paraId="47D33650" w14:textId="77777777" w:rsidR="00AB6D84" w:rsidRPr="00AB6D84" w:rsidRDefault="00AB6D84" w:rsidP="00AB6D84">
      <w:r w:rsidRPr="00AB6D84">
        <w:t>Solide Kommunalfinanzen sind die Grundlage handlungsfähiger Städte und Gemeinden. Wir setzen uns für eine verantwortungsvolle Haushaltsführung ein, die Pflichtaufgaben absichert und Bürger nicht weiter belastet. Straßenausbaubeiträge lehnen wir ab, da kommunale Straßen von allen genutzt werden. Gebühren, Beiträge und Hebesätze dürfen nicht weiter steigen. Neue Ausgaben kommen nur infrage, wenn sie dauerhaft finanzierbar sind. Kassenkredite sind schrittweise abzubauen.</w:t>
      </w:r>
    </w:p>
    <w:p w14:paraId="0CD78204" w14:textId="77777777" w:rsidR="00AB6D84" w:rsidRPr="00AB6D84" w:rsidRDefault="00AB6D84" w:rsidP="00AB6D84">
      <w:r w:rsidRPr="00AB6D84">
        <w:pict w14:anchorId="7F741E82">
          <v:rect id="_x0000_i1085" style="width:0;height:1.5pt" o:hralign="center" o:hrstd="t" o:hr="t" fillcolor="#a0a0a0" stroked="f"/>
        </w:pict>
      </w:r>
    </w:p>
    <w:p w14:paraId="42A39CF5" w14:textId="77777777" w:rsidR="00AB6D84" w:rsidRPr="00AB6D84" w:rsidRDefault="00AB6D84" w:rsidP="00AB6D84">
      <w:pPr>
        <w:rPr>
          <w:b/>
          <w:bCs/>
        </w:rPr>
      </w:pPr>
      <w:r w:rsidRPr="00AB6D84">
        <w:rPr>
          <w:b/>
          <w:bCs/>
        </w:rPr>
        <w:t>Verwaltung &amp; Bürgerservice</w:t>
      </w:r>
    </w:p>
    <w:p w14:paraId="19C9441D" w14:textId="77777777" w:rsidR="00AB6D84" w:rsidRPr="00AB6D84" w:rsidRDefault="00AB6D84" w:rsidP="00AB6D84">
      <w:r w:rsidRPr="00AB6D84">
        <w:t>Die kommunale Verwaltung muss sich auf ihre Kernaufgaben konzentrieren und für die Bürger erreichbar, effizient und rechtssicher arbeiten. Wir wollen klare Zuständigkeiten, kurze Bearbeitungszeiten und verständliche Verfahren. Ideologisch motivierte Sonderstrukturen lehnen wir ab. Digitale Angebote sollen den Bürgerservice verbessern, dürfen aber den analogen Zugang nicht ersetzen. Stellen sind nach Qualifikation und Erfahrung zu besetzen.</w:t>
      </w:r>
    </w:p>
    <w:p w14:paraId="5946CF98" w14:textId="77777777" w:rsidR="00AB6D84" w:rsidRPr="00AB6D84" w:rsidRDefault="00AB6D84" w:rsidP="00AB6D84">
      <w:r w:rsidRPr="00AB6D84">
        <w:pict w14:anchorId="24C358AA">
          <v:rect id="_x0000_i1086" style="width:0;height:1.5pt" o:hralign="center" o:hrstd="t" o:hr="t" fillcolor="#a0a0a0" stroked="f"/>
        </w:pict>
      </w:r>
    </w:p>
    <w:p w14:paraId="0C96E9DE" w14:textId="77777777" w:rsidR="00AB6D84" w:rsidRPr="00AB6D84" w:rsidRDefault="00AB6D84" w:rsidP="00AB6D84">
      <w:pPr>
        <w:rPr>
          <w:b/>
          <w:bCs/>
        </w:rPr>
      </w:pPr>
      <w:r w:rsidRPr="00AB6D84">
        <w:rPr>
          <w:b/>
          <w:bCs/>
        </w:rPr>
        <w:t>Sicherheit, Ordnung &amp; öffentlicher Raum</w:t>
      </w:r>
    </w:p>
    <w:p w14:paraId="14968F7D" w14:textId="77777777" w:rsidR="00AB6D84" w:rsidRPr="00AB6D84" w:rsidRDefault="00AB6D84" w:rsidP="00AB6D84">
      <w:r w:rsidRPr="00AB6D84">
        <w:t xml:space="preserve">Öffentliche Ordnung ist Voraussetzung für Freiheit und Lebensqualität. Wir setzen uns für eine stärkere Präsenz von Ordnungsdiensten ein, insbesondere an bekannten Brennpunkten. </w:t>
      </w:r>
      <w:proofErr w:type="spellStart"/>
      <w:r w:rsidRPr="00AB6D84">
        <w:t>Vermüllung</w:t>
      </w:r>
      <w:proofErr w:type="spellEnd"/>
      <w:r w:rsidRPr="00AB6D84">
        <w:t>, Vandalismus, Belästigungen und Ruhestörungen sind konsequent zu unterbinden. Angsträume werden durch bessere Beleuchtung, Sauberkeit und Kontrolle beseitigt. Öffentliche Plätze, Parks und Haltestellen müssen für alle nutzbar bleiben.</w:t>
      </w:r>
    </w:p>
    <w:p w14:paraId="6F0B7DD5" w14:textId="77777777" w:rsidR="00AB6D84" w:rsidRPr="00AB6D84" w:rsidRDefault="00AB6D84" w:rsidP="00AB6D84">
      <w:r w:rsidRPr="00AB6D84">
        <w:pict w14:anchorId="752D39E9">
          <v:rect id="_x0000_i1087" style="width:0;height:1.5pt" o:hralign="center" o:hrstd="t" o:hr="t" fillcolor="#a0a0a0" stroked="f"/>
        </w:pict>
      </w:r>
    </w:p>
    <w:p w14:paraId="26E742E6" w14:textId="77777777" w:rsidR="00AB6D84" w:rsidRPr="00AB6D84" w:rsidRDefault="00AB6D84" w:rsidP="00AB6D84">
      <w:pPr>
        <w:rPr>
          <w:b/>
          <w:bCs/>
        </w:rPr>
      </w:pPr>
      <w:r w:rsidRPr="00AB6D84">
        <w:rPr>
          <w:b/>
          <w:bCs/>
        </w:rPr>
        <w:t>Feuerwehr, Rettungsdienst &amp; Katastrophenschutz</w:t>
      </w:r>
    </w:p>
    <w:p w14:paraId="10FE4866" w14:textId="77777777" w:rsidR="00AB6D84" w:rsidRPr="00AB6D84" w:rsidRDefault="00AB6D84" w:rsidP="00AB6D84">
      <w:r w:rsidRPr="00AB6D84">
        <w:t>Feuerwehr und Rettungsdienste leisten unverzichtbare Arbeit für die Sicherheit der Bevölkerung. Wir setzen uns für moderne Ausstattung, funktionsfähige Gerätehäuser und ausreichende Ausbildung ein. Das Ehrenamt verdient besondere Unterstützung. Warnsysteme, Notfall- und Katastrophenpläne sind regelmäßig zu überprüfen und auszubauen, damit Kommunen auch in Krisensituationen handlungsfähig bleiben.</w:t>
      </w:r>
    </w:p>
    <w:p w14:paraId="062C388A" w14:textId="77777777" w:rsidR="00AB6D84" w:rsidRPr="00AB6D84" w:rsidRDefault="00AB6D84" w:rsidP="00AB6D84">
      <w:r w:rsidRPr="00AB6D84">
        <w:pict w14:anchorId="63139CC6">
          <v:rect id="_x0000_i1088" style="width:0;height:1.5pt" o:hralign="center" o:hrstd="t" o:hr="t" fillcolor="#a0a0a0" stroked="f"/>
        </w:pict>
      </w:r>
    </w:p>
    <w:p w14:paraId="6981C48C" w14:textId="77777777" w:rsidR="00AB6D84" w:rsidRPr="00AB6D84" w:rsidRDefault="00AB6D84" w:rsidP="00AB6D84">
      <w:pPr>
        <w:rPr>
          <w:b/>
          <w:bCs/>
        </w:rPr>
      </w:pPr>
      <w:r w:rsidRPr="00AB6D84">
        <w:rPr>
          <w:b/>
          <w:bCs/>
        </w:rPr>
        <w:t>Familien, Kinder &amp; Lebensqualität</w:t>
      </w:r>
    </w:p>
    <w:p w14:paraId="325E1477" w14:textId="77777777" w:rsidR="00AB6D84" w:rsidRPr="00AB6D84" w:rsidRDefault="00AB6D84" w:rsidP="00AB6D84">
      <w:r w:rsidRPr="00AB6D84">
        <w:t>Eine familienfreundliche Kommune schafft sichere, saubere und lebenswerte Rahmenbedingungen. Dazu gehören sichere Schulwege, gepflegte Spielplätze, wohnortnahe Betreuungsangebote und bezahlbare Freizeitmöglichkeiten. Elternrechte sind zu achten. Kinderbetreuung und Jugendarbeit müssen verlässlich organisiert sein und sich am Wohl der Kinder orientieren, nicht an ideologischen Vorgaben.</w:t>
      </w:r>
    </w:p>
    <w:p w14:paraId="5E43D865" w14:textId="77777777" w:rsidR="00AB6D84" w:rsidRPr="00AB6D84" w:rsidRDefault="00AB6D84" w:rsidP="00AB6D84">
      <w:r w:rsidRPr="00AB6D84">
        <w:pict w14:anchorId="02723EF6">
          <v:rect id="_x0000_i1089" style="width:0;height:1.5pt" o:hralign="center" o:hrstd="t" o:hr="t" fillcolor="#a0a0a0" stroked="f"/>
        </w:pict>
      </w:r>
    </w:p>
    <w:p w14:paraId="6BD17940" w14:textId="77777777" w:rsidR="00AB6D84" w:rsidRPr="00AB6D84" w:rsidRDefault="00AB6D84" w:rsidP="00AB6D84">
      <w:pPr>
        <w:rPr>
          <w:b/>
          <w:bCs/>
        </w:rPr>
      </w:pPr>
      <w:r w:rsidRPr="00AB6D84">
        <w:rPr>
          <w:b/>
          <w:bCs/>
        </w:rPr>
        <w:t>Schulen &amp; kommunale Bildungseinrichtungen</w:t>
      </w:r>
    </w:p>
    <w:p w14:paraId="5E256EEE" w14:textId="77777777" w:rsidR="00AB6D84" w:rsidRPr="00AB6D84" w:rsidRDefault="00AB6D84" w:rsidP="00AB6D84">
      <w:r w:rsidRPr="00AB6D84">
        <w:t xml:space="preserve">Als Schulträger tragen Kommunen Verantwortung für funktionierende Gebäude, sichere Schulwege und eine sachliche Lernumgebung. Wir setzen uns für den Erhalt aller Schulformen und Förderschulen ein. Ganztagsangebote müssen freiwillig bleiben. Schulgebäude sind instand </w:t>
      </w:r>
      <w:r w:rsidRPr="00AB6D84">
        <w:lastRenderedPageBreak/>
        <w:t>zu halten, Unterricht darf nicht durch politische oder weltanschauliche Experimente belastet werden.</w:t>
      </w:r>
    </w:p>
    <w:p w14:paraId="5D1D82D7" w14:textId="77777777" w:rsidR="00AB6D84" w:rsidRPr="00AB6D84" w:rsidRDefault="00AB6D84" w:rsidP="00AB6D84">
      <w:r w:rsidRPr="00AB6D84">
        <w:pict w14:anchorId="73E60D79">
          <v:rect id="_x0000_i1090" style="width:0;height:1.5pt" o:hralign="center" o:hrstd="t" o:hr="t" fillcolor="#a0a0a0" stroked="f"/>
        </w:pict>
      </w:r>
    </w:p>
    <w:p w14:paraId="50315EE7" w14:textId="77777777" w:rsidR="00AB6D84" w:rsidRPr="00AB6D84" w:rsidRDefault="00AB6D84" w:rsidP="00AB6D84">
      <w:pPr>
        <w:rPr>
          <w:b/>
          <w:bCs/>
        </w:rPr>
      </w:pPr>
      <w:r w:rsidRPr="00AB6D84">
        <w:rPr>
          <w:b/>
          <w:bCs/>
        </w:rPr>
        <w:t>Gesundheit &amp; Pflege vor Ort</w:t>
      </w:r>
    </w:p>
    <w:p w14:paraId="111293DF" w14:textId="77777777" w:rsidR="00AB6D84" w:rsidRPr="00AB6D84" w:rsidRDefault="00AB6D84" w:rsidP="00AB6D84">
      <w:r w:rsidRPr="00AB6D84">
        <w:t>Eine wohnortnahe medizinische Versorgung ist Teil der kommunalen Daseinsvorsorge. Wir unterstützen den Erhalt von Hausarztpraxen, Apotheken und Krankenhäusern. Kommunale Gesundheits- oder Ärztezentren können Versorgungslücken schließen. Pflegeangebote, Kurzzeit- und Tagespflege sind auszubauen, um ältere Menschen und pflegende Angehörige zu entlasten.</w:t>
      </w:r>
    </w:p>
    <w:p w14:paraId="10BF7E39" w14:textId="77777777" w:rsidR="00AB6D84" w:rsidRPr="00AB6D84" w:rsidRDefault="00AB6D84" w:rsidP="00AB6D84">
      <w:r w:rsidRPr="00AB6D84">
        <w:pict w14:anchorId="5B9FDE4F">
          <v:rect id="_x0000_i1091" style="width:0;height:1.5pt" o:hralign="center" o:hrstd="t" o:hr="t" fillcolor="#a0a0a0" stroked="f"/>
        </w:pict>
      </w:r>
    </w:p>
    <w:p w14:paraId="1D5A0AA1" w14:textId="77777777" w:rsidR="00AB6D84" w:rsidRPr="00AB6D84" w:rsidRDefault="00AB6D84" w:rsidP="00AB6D84">
      <w:pPr>
        <w:rPr>
          <w:b/>
          <w:bCs/>
        </w:rPr>
      </w:pPr>
      <w:r w:rsidRPr="00AB6D84">
        <w:rPr>
          <w:b/>
          <w:bCs/>
        </w:rPr>
        <w:t>Wirtschaft, Handwerk &amp; Standortpolitik</w:t>
      </w:r>
    </w:p>
    <w:p w14:paraId="225685A0" w14:textId="77777777" w:rsidR="00AB6D84" w:rsidRPr="00AB6D84" w:rsidRDefault="00AB6D84" w:rsidP="00AB6D84">
      <w:r w:rsidRPr="00AB6D84">
        <w:t>Eine starke lokale Wirtschaft sichert Arbeitsplätze und kommunale Einnahmen. Wir setzen uns für wirtschaftsfreundliche Rahmenbedingungen, schnelle Genehmigungsverfahren und den Abbau unnötiger Bürokratie ein. Handwerk und Mittelstand sollen bei öffentlichen Vergaben stärker berücksichtigt werden. Gute Erreichbarkeit, ausreichend Parkraum und funktionierende Infrastruktur sind zentrale Standortfaktoren.</w:t>
      </w:r>
    </w:p>
    <w:p w14:paraId="6C511B5F" w14:textId="77777777" w:rsidR="00AB6D84" w:rsidRPr="00AB6D84" w:rsidRDefault="00AB6D84" w:rsidP="00AB6D84">
      <w:r w:rsidRPr="00AB6D84">
        <w:pict w14:anchorId="1F205724">
          <v:rect id="_x0000_i1092" style="width:0;height:1.5pt" o:hralign="center" o:hrstd="t" o:hr="t" fillcolor="#a0a0a0" stroked="f"/>
        </w:pict>
      </w:r>
    </w:p>
    <w:p w14:paraId="7E93F9F4" w14:textId="77777777" w:rsidR="00AB6D84" w:rsidRPr="00AB6D84" w:rsidRDefault="00AB6D84" w:rsidP="00AB6D84">
      <w:pPr>
        <w:rPr>
          <w:b/>
          <w:bCs/>
        </w:rPr>
      </w:pPr>
      <w:r w:rsidRPr="00AB6D84">
        <w:rPr>
          <w:b/>
          <w:bCs/>
        </w:rPr>
        <w:t>Ländlicher Raum, Flächennutzung &amp; Infrastruktur</w:t>
      </w:r>
    </w:p>
    <w:p w14:paraId="0DE8FBF5" w14:textId="77777777" w:rsidR="00AB6D84" w:rsidRPr="00AB6D84" w:rsidRDefault="00AB6D84" w:rsidP="00AB6D84">
      <w:r w:rsidRPr="00AB6D84">
        <w:t>Der ländliche Raum braucht verlässliche Infrastruktur und kurze Wege. Wir setzen auf Innenentwicklung statt weiterer Flächenversiegelung. Landwirtschaftliche Nutzflächen sind zu schützen. Dorfläden, Ärzte, Schulen und Vereine müssen erhalten bleiben. Kommunale Entscheidungen sollen sich an tatsächlichem Bedarf orientieren, nicht an übergeordneten Zielvorgaben ohne lokalen Nutzen.</w:t>
      </w:r>
    </w:p>
    <w:p w14:paraId="3E169249" w14:textId="77777777" w:rsidR="00AB6D84" w:rsidRPr="00AB6D84" w:rsidRDefault="00AB6D84" w:rsidP="00AB6D84">
      <w:r w:rsidRPr="00AB6D84">
        <w:pict w14:anchorId="36BBBCC5">
          <v:rect id="_x0000_i1093" style="width:0;height:1.5pt" o:hralign="center" o:hrstd="t" o:hr="t" fillcolor="#a0a0a0" stroked="f"/>
        </w:pict>
      </w:r>
    </w:p>
    <w:p w14:paraId="02F6E1C6" w14:textId="77777777" w:rsidR="00AB6D84" w:rsidRPr="00AB6D84" w:rsidRDefault="00AB6D84" w:rsidP="00AB6D84">
      <w:pPr>
        <w:rPr>
          <w:b/>
          <w:bCs/>
        </w:rPr>
      </w:pPr>
      <w:r w:rsidRPr="00AB6D84">
        <w:rPr>
          <w:b/>
          <w:bCs/>
        </w:rPr>
        <w:t>Energie, Technik &amp; Digitalisierung</w:t>
      </w:r>
    </w:p>
    <w:p w14:paraId="544027F2" w14:textId="77777777" w:rsidR="00AB6D84" w:rsidRPr="00AB6D84" w:rsidRDefault="00AB6D84" w:rsidP="00AB6D84">
      <w:r w:rsidRPr="00AB6D84">
        <w:t>Kommunale Politik muss Versorgungssicherheit gewährleisten. Kritische Infrastruktur wie Wasserwerke, Pflegeeinrichtungen und Verwaltungsgebäude benötigen Notstromkonzepte. Digitalisierung soll Abläufe vereinfachen, darf Bürger aber nicht ausschließen. Analoge Angebote bleiben erhalten. Bei kommunaler Beschaffung gilt Technologieoffenheit und Wirtschaftlichkeit vor Ideologie.</w:t>
      </w:r>
    </w:p>
    <w:p w14:paraId="3C493F8A" w14:textId="77777777" w:rsidR="00AB6D84" w:rsidRPr="00AB6D84" w:rsidRDefault="00AB6D84" w:rsidP="00AB6D84">
      <w:r w:rsidRPr="00AB6D84">
        <w:pict w14:anchorId="5B45B059">
          <v:rect id="_x0000_i1094" style="width:0;height:1.5pt" o:hralign="center" o:hrstd="t" o:hr="t" fillcolor="#a0a0a0" stroked="f"/>
        </w:pict>
      </w:r>
    </w:p>
    <w:p w14:paraId="61176CB2" w14:textId="77777777" w:rsidR="00AB6D84" w:rsidRPr="00AB6D84" w:rsidRDefault="00AB6D84" w:rsidP="00AB6D84">
      <w:pPr>
        <w:rPr>
          <w:b/>
          <w:bCs/>
        </w:rPr>
      </w:pPr>
      <w:r w:rsidRPr="00AB6D84">
        <w:rPr>
          <w:b/>
          <w:bCs/>
        </w:rPr>
        <w:t>Demokratie &amp; Bürgerbeteiligung</w:t>
      </w:r>
    </w:p>
    <w:p w14:paraId="5AB1C127" w14:textId="77777777" w:rsidR="00AB6D84" w:rsidRPr="00AB6D84" w:rsidRDefault="00AB6D84" w:rsidP="00AB6D84">
      <w:r w:rsidRPr="00AB6D84">
        <w:t>Kommunalpolitik lebt von Transparenz und Mitwirkung. Wir setzen uns für nachvollziehbare Entscheidungsprozesse und eine stärkere Einbindung der Bürger ein. Bürgerentscheide und -begehren sind zu erleichtern. Politische Entscheidungen gehören in gewählte Gremien. Symbolische Resolutionen ohne kommunalen Bezug lehnen wir ab.</w:t>
      </w:r>
    </w:p>
    <w:p w14:paraId="70A56103" w14:textId="77777777" w:rsidR="00365CDB" w:rsidRDefault="00365CDB"/>
    <w:p w14:paraId="1D1FE34D" w14:textId="77777777" w:rsidR="00AB6D84" w:rsidRPr="00AB6D84" w:rsidRDefault="00AB6D84" w:rsidP="00AB6D84">
      <w:pPr>
        <w:rPr>
          <w:b/>
          <w:bCs/>
        </w:rPr>
      </w:pPr>
      <w:r w:rsidRPr="00AB6D84">
        <w:rPr>
          <w:b/>
          <w:bCs/>
        </w:rPr>
        <w:t>Wohnen, Bauen &amp; Ortsentwicklung</w:t>
      </w:r>
    </w:p>
    <w:p w14:paraId="6B5FBC3D" w14:textId="77777777" w:rsidR="00AB6D84" w:rsidRPr="00AB6D84" w:rsidRDefault="00AB6D84" w:rsidP="00AB6D84">
      <w:r w:rsidRPr="00AB6D84">
        <w:t xml:space="preserve">Bezahlbarer Wohnraum ist eine zentrale kommunale Aufgabe. Wir setzen uns für eine maßvolle Ortsentwicklung ein, die den Bedarf der einheimischen Bevölkerung berücksichtigt. </w:t>
      </w:r>
      <w:r w:rsidRPr="00AB6D84">
        <w:lastRenderedPageBreak/>
        <w:t>Genehmigungsverfahren sind zu beschleunigen, Nachverdichtung und Nutzung vorhandener Flächen haben Vorrang vor weiterer Versiegelung. Kommunale Grundstücke sollen vorrangig für Wohnraum und Infrastruktur genutzt werden, nicht für spekulative Zwecke.</w:t>
      </w:r>
    </w:p>
    <w:p w14:paraId="52C56400" w14:textId="77777777" w:rsidR="00AB6D84" w:rsidRPr="00AB6D84" w:rsidRDefault="00AB6D84" w:rsidP="00AB6D84">
      <w:r w:rsidRPr="00AB6D84">
        <w:pict w14:anchorId="25021E56">
          <v:rect id="_x0000_i1159" style="width:0;height:1.5pt" o:hralign="center" o:hrstd="t" o:hr="t" fillcolor="#a0a0a0" stroked="f"/>
        </w:pict>
      </w:r>
    </w:p>
    <w:p w14:paraId="799A26F1" w14:textId="77777777" w:rsidR="00AB6D84" w:rsidRPr="00AB6D84" w:rsidRDefault="00AB6D84" w:rsidP="00AB6D84">
      <w:pPr>
        <w:rPr>
          <w:b/>
          <w:bCs/>
        </w:rPr>
      </w:pPr>
      <w:r w:rsidRPr="00AB6D84">
        <w:rPr>
          <w:b/>
          <w:bCs/>
        </w:rPr>
        <w:t>Verkehr, Mobilität &amp; Erreichbarkeit</w:t>
      </w:r>
    </w:p>
    <w:p w14:paraId="29D4EEAD" w14:textId="77777777" w:rsidR="00AB6D84" w:rsidRPr="00AB6D84" w:rsidRDefault="00AB6D84" w:rsidP="00AB6D84">
      <w:r w:rsidRPr="00AB6D84">
        <w:t>Mobilität muss sich an den Bedürfnissen der Bürger orientieren. Wir lehnen ideologisch motivierte Verkehrslenkung ab. Der motorisierte Individualverkehr, der öffentliche Nahverkehr sowie Fuß- und Radverkehr sind gleichberechtigt zu behandeln. Innenstädte müssen erreichbar bleiben, Parkraum darf nicht ersatzlos abgebaut werden. Verkehrssicherheit hat Vorrang vor Symbolpolitik.</w:t>
      </w:r>
    </w:p>
    <w:p w14:paraId="68D537E4" w14:textId="77777777" w:rsidR="00AB6D84" w:rsidRPr="00AB6D84" w:rsidRDefault="00AB6D84" w:rsidP="00AB6D84">
      <w:r w:rsidRPr="00AB6D84">
        <w:pict w14:anchorId="5D52852F">
          <v:rect id="_x0000_i1160" style="width:0;height:1.5pt" o:hralign="center" o:hrstd="t" o:hr="t" fillcolor="#a0a0a0" stroked="f"/>
        </w:pict>
      </w:r>
    </w:p>
    <w:p w14:paraId="56CE05E3" w14:textId="77777777" w:rsidR="00AB6D84" w:rsidRPr="00AB6D84" w:rsidRDefault="00AB6D84" w:rsidP="00AB6D84">
      <w:pPr>
        <w:rPr>
          <w:b/>
          <w:bCs/>
        </w:rPr>
      </w:pPr>
      <w:r w:rsidRPr="00AB6D84">
        <w:rPr>
          <w:b/>
          <w:bCs/>
        </w:rPr>
        <w:t>Sauberkeit, Stadtbild &amp; öffentliche Anlagen</w:t>
      </w:r>
    </w:p>
    <w:p w14:paraId="38C4AA0F" w14:textId="77777777" w:rsidR="00AB6D84" w:rsidRPr="00AB6D84" w:rsidRDefault="00AB6D84" w:rsidP="00AB6D84">
      <w:r w:rsidRPr="00AB6D84">
        <w:t>Ein gepflegtes Orts- und Stadtbild steigert Lebensqualität und Sicherheit. Öffentliche Anlagen, Parks, Haltestellen und Wege sind regelmäßig zu reinigen und instand zu halten. Illegale Müllablagerungen und Verwahrlosung sind konsequent zu verfolgen. Investitionen in Instandhaltung haben Vorrang vor teuren Prestigeprojekten.</w:t>
      </w:r>
    </w:p>
    <w:p w14:paraId="6BBCDE0F" w14:textId="77777777" w:rsidR="00AB6D84" w:rsidRPr="00AB6D84" w:rsidRDefault="00AB6D84" w:rsidP="00AB6D84">
      <w:r w:rsidRPr="00AB6D84">
        <w:pict w14:anchorId="41CC41E7">
          <v:rect id="_x0000_i1161" style="width:0;height:1.5pt" o:hralign="center" o:hrstd="t" o:hr="t" fillcolor="#a0a0a0" stroked="f"/>
        </w:pict>
      </w:r>
    </w:p>
    <w:p w14:paraId="479FD2C5" w14:textId="77777777" w:rsidR="00AB6D84" w:rsidRPr="00AB6D84" w:rsidRDefault="00AB6D84" w:rsidP="00AB6D84">
      <w:pPr>
        <w:rPr>
          <w:b/>
          <w:bCs/>
        </w:rPr>
      </w:pPr>
      <w:r w:rsidRPr="00AB6D84">
        <w:rPr>
          <w:b/>
          <w:bCs/>
        </w:rPr>
        <w:t>Friedhöfe &amp; kommunale Daseinsvorsorge</w:t>
      </w:r>
    </w:p>
    <w:p w14:paraId="5965AA01" w14:textId="77777777" w:rsidR="00AB6D84" w:rsidRPr="00AB6D84" w:rsidRDefault="00AB6D84" w:rsidP="00AB6D84">
      <w:r w:rsidRPr="00AB6D84">
        <w:t>Friedhöfe sind Orte der Würde und des Erinnerns. Sie müssen gepflegt, sicher und barrierefrei sein. Gebühren sollen transparent, nachvollziehbar und sozial verträglich bleiben. Friedhofssatzungen sind klar und bürgernah zu gestalten. Kommunale Entscheidungen in diesem Bereich haben sich an Respekt, Tradition und praktischer Umsetzbarkeit zu orientieren.</w:t>
      </w:r>
    </w:p>
    <w:p w14:paraId="2C37CB6C" w14:textId="77777777" w:rsidR="00AB6D84" w:rsidRPr="00AB6D84" w:rsidRDefault="00AB6D84" w:rsidP="00AB6D84">
      <w:r w:rsidRPr="00AB6D84">
        <w:pict w14:anchorId="54090EFD">
          <v:rect id="_x0000_i1162" style="width:0;height:1.5pt" o:hralign="center" o:hrstd="t" o:hr="t" fillcolor="#a0a0a0" stroked="f"/>
        </w:pict>
      </w:r>
    </w:p>
    <w:p w14:paraId="7383A6A7" w14:textId="77777777" w:rsidR="00AB6D84" w:rsidRPr="00AB6D84" w:rsidRDefault="00AB6D84" w:rsidP="00AB6D84">
      <w:pPr>
        <w:rPr>
          <w:b/>
          <w:bCs/>
        </w:rPr>
      </w:pPr>
      <w:r w:rsidRPr="00AB6D84">
        <w:rPr>
          <w:b/>
          <w:bCs/>
        </w:rPr>
        <w:t>Ehrenamt, Vereine &amp; gesellschaftlicher Zusammenhalt</w:t>
      </w:r>
    </w:p>
    <w:p w14:paraId="1C9D4C42" w14:textId="77777777" w:rsidR="00AB6D84" w:rsidRPr="00AB6D84" w:rsidRDefault="00AB6D84" w:rsidP="00AB6D84">
      <w:r w:rsidRPr="00AB6D84">
        <w:t>Ehrenamtliches Engagement ist eine tragende Säule des Gemeinwesens. Vereine, Feuerwehren, Sport-, Musik- und Heimatvereine leisten unverzichtbare Arbeit. Wir setzen uns für verlässliche Unterstützung, bezahlbare Nutzung kommunaler Einrichtungen und unbürokratische Förderung ein. Ehrenamt braucht Wertschätzung, keine Überregulierung.</w:t>
      </w:r>
    </w:p>
    <w:p w14:paraId="59832F8E" w14:textId="77777777" w:rsidR="00AB6D84" w:rsidRPr="00AB6D84" w:rsidRDefault="00AB6D84" w:rsidP="00AB6D84">
      <w:r w:rsidRPr="00AB6D84">
        <w:pict w14:anchorId="7A90D21A">
          <v:rect id="_x0000_i1163" style="width:0;height:1.5pt" o:hralign="center" o:hrstd="t" o:hr="t" fillcolor="#a0a0a0" stroked="f"/>
        </w:pict>
      </w:r>
    </w:p>
    <w:p w14:paraId="18C4418A" w14:textId="77777777" w:rsidR="00AB6D84" w:rsidRPr="00AB6D84" w:rsidRDefault="00AB6D84" w:rsidP="00AB6D84">
      <w:pPr>
        <w:rPr>
          <w:b/>
          <w:bCs/>
        </w:rPr>
      </w:pPr>
      <w:r w:rsidRPr="00AB6D84">
        <w:rPr>
          <w:b/>
          <w:bCs/>
        </w:rPr>
        <w:t>Jugend, Freizeit &amp; Prävention</w:t>
      </w:r>
    </w:p>
    <w:p w14:paraId="3C1314A3" w14:textId="77777777" w:rsidR="00AB6D84" w:rsidRPr="00AB6D84" w:rsidRDefault="00AB6D84" w:rsidP="00AB6D84">
      <w:r w:rsidRPr="00AB6D84">
        <w:t>Jugendliche brauchen sichere Räume, sinnvolle Freizeitangebote und klare Regeln. Kommunale Jugendarbeit soll fördern, wo sie hilft, und Grenzen setzen, wo sie notwendig sind. Jugendtreffs, Sportangebote und Vereinsarbeit sind gezielt zu unterstützen. Ordnung und Sicherheit sind Voraussetzung für erfolgreiche Prävention.</w:t>
      </w:r>
    </w:p>
    <w:p w14:paraId="430B9252" w14:textId="77777777" w:rsidR="00AB6D84" w:rsidRPr="00AB6D84" w:rsidRDefault="00AB6D84" w:rsidP="00AB6D84">
      <w:r w:rsidRPr="00AB6D84">
        <w:pict w14:anchorId="20D9399E">
          <v:rect id="_x0000_i1164" style="width:0;height:1.5pt" o:hralign="center" o:hrstd="t" o:hr="t" fillcolor="#a0a0a0" stroked="f"/>
        </w:pict>
      </w:r>
    </w:p>
    <w:p w14:paraId="2DF93D37" w14:textId="77777777" w:rsidR="00AB6D84" w:rsidRPr="00AB6D84" w:rsidRDefault="00AB6D84" w:rsidP="00AB6D84">
      <w:pPr>
        <w:rPr>
          <w:b/>
          <w:bCs/>
        </w:rPr>
      </w:pPr>
      <w:r w:rsidRPr="00AB6D84">
        <w:rPr>
          <w:b/>
          <w:bCs/>
        </w:rPr>
        <w:t>Senioren, Teilhabe &amp; Barrierefreiheit</w:t>
      </w:r>
    </w:p>
    <w:p w14:paraId="4DAE3043" w14:textId="77777777" w:rsidR="00AB6D84" w:rsidRPr="00AB6D84" w:rsidRDefault="00AB6D84" w:rsidP="00AB6D84">
      <w:r w:rsidRPr="00AB6D84">
        <w:t xml:space="preserve">Ältere Menschen sollen möglichst lange selbstbestimmt in ihrer Kommune leben können. Barrierefreie Wege, erreichbare Verwaltung, medizinische Versorgung und Mobilitätsangebote </w:t>
      </w:r>
      <w:r w:rsidRPr="00AB6D84">
        <w:lastRenderedPageBreak/>
        <w:t>sind sicherzustellen. Kommunale Entscheidungen müssen die Bedürfnisse einer älter werdenden Bevölkerung berücksichtigen und Teilhabe ermöglichen.</w:t>
      </w:r>
    </w:p>
    <w:p w14:paraId="2E7E468B" w14:textId="77777777" w:rsidR="00AB6D84" w:rsidRPr="00AB6D84" w:rsidRDefault="00AB6D84" w:rsidP="00AB6D84">
      <w:r w:rsidRPr="00AB6D84">
        <w:pict w14:anchorId="488413C7">
          <v:rect id="_x0000_i1165" style="width:0;height:1.5pt" o:hralign="center" o:hrstd="t" o:hr="t" fillcolor="#a0a0a0" stroked="f"/>
        </w:pict>
      </w:r>
    </w:p>
    <w:p w14:paraId="3D6511EC" w14:textId="77777777" w:rsidR="00AB6D84" w:rsidRPr="00AB6D84" w:rsidRDefault="00AB6D84" w:rsidP="00AB6D84">
      <w:pPr>
        <w:rPr>
          <w:b/>
          <w:bCs/>
        </w:rPr>
      </w:pPr>
      <w:r w:rsidRPr="00AB6D84">
        <w:rPr>
          <w:b/>
          <w:bCs/>
        </w:rPr>
        <w:t>Digitalisierung der Kommune (intern)</w:t>
      </w:r>
    </w:p>
    <w:p w14:paraId="696D52E3" w14:textId="77777777" w:rsidR="00AB6D84" w:rsidRPr="00AB6D84" w:rsidRDefault="00AB6D84" w:rsidP="00AB6D84">
      <w:r w:rsidRPr="00AB6D84">
        <w:t>Digitale Prozesse sollen die Verwaltung effizienter machen und Mitarbeiter entlasten. Wir setzen auf praxistaugliche, sichere und wirtschaftliche Lösungen. Datensparsamkeit und IT-Sicherheit haben Priorität. Digitalisierung darf keine neuen Abhängigkeiten schaffen und muss jederzeit überprüfbar bleiben.</w:t>
      </w:r>
    </w:p>
    <w:p w14:paraId="2211CB99" w14:textId="77777777" w:rsidR="00AB6D84" w:rsidRPr="00AB6D84" w:rsidRDefault="00AB6D84" w:rsidP="00AB6D84">
      <w:r w:rsidRPr="00AB6D84">
        <w:pict w14:anchorId="0DF787AC">
          <v:rect id="_x0000_i1166" style="width:0;height:1.5pt" o:hralign="center" o:hrstd="t" o:hr="t" fillcolor="#a0a0a0" stroked="f"/>
        </w:pict>
      </w:r>
    </w:p>
    <w:p w14:paraId="1FBC6D19" w14:textId="77777777" w:rsidR="00AB6D84" w:rsidRPr="00AB6D84" w:rsidRDefault="00AB6D84" w:rsidP="00AB6D84">
      <w:pPr>
        <w:rPr>
          <w:b/>
          <w:bCs/>
        </w:rPr>
      </w:pPr>
      <w:r w:rsidRPr="00AB6D84">
        <w:rPr>
          <w:b/>
          <w:bCs/>
        </w:rPr>
        <w:t>Transparenz, Kontrolle &amp; Haushaltsklarheit</w:t>
      </w:r>
    </w:p>
    <w:p w14:paraId="1AB21A9F" w14:textId="77777777" w:rsidR="00AB6D84" w:rsidRPr="00AB6D84" w:rsidRDefault="00AB6D84" w:rsidP="00AB6D84">
      <w:r w:rsidRPr="00AB6D84">
        <w:t>Bürger haben Anspruch auf nachvollziehbare Entscheidungen. Haushaltszahlen, Projekte und Kosten müssen verständlich dargestellt werden. Wir setzen uns für eine stärkere Rolle von Rechnungsprüfung und Kontrolle ein. Steuergeld ist sparsam und zweckgebunden zu verwenden.</w:t>
      </w:r>
    </w:p>
    <w:p w14:paraId="3DB404A1" w14:textId="77777777" w:rsidR="00AB6D84" w:rsidRPr="00AB6D84" w:rsidRDefault="00AB6D84" w:rsidP="00AB6D84">
      <w:r w:rsidRPr="00AB6D84">
        <w:pict w14:anchorId="6C1C84CF">
          <v:rect id="_x0000_i1167" style="width:0;height:1.5pt" o:hralign="center" o:hrstd="t" o:hr="t" fillcolor="#a0a0a0" stroked="f"/>
        </w:pict>
      </w:r>
    </w:p>
    <w:p w14:paraId="3E22572D" w14:textId="77777777" w:rsidR="00AB6D84" w:rsidRPr="00AB6D84" w:rsidRDefault="00AB6D84" w:rsidP="00AB6D84">
      <w:pPr>
        <w:rPr>
          <w:b/>
          <w:bCs/>
        </w:rPr>
      </w:pPr>
      <w:r w:rsidRPr="00AB6D84">
        <w:rPr>
          <w:b/>
          <w:bCs/>
        </w:rPr>
        <w:t>Interkommunale Zusammenarbeit</w:t>
      </w:r>
    </w:p>
    <w:p w14:paraId="46772626" w14:textId="77777777" w:rsidR="00AB6D84" w:rsidRPr="00AB6D84" w:rsidRDefault="00AB6D84" w:rsidP="00AB6D84">
      <w:r w:rsidRPr="00AB6D84">
        <w:t>Gemeinden und Landkreise können durch Zusammenarbeit Kosten senken und Leistungen sichern. Interkommunale Kooperationen sollen dort genutzt werden, wo sie sinnvoll und wirtschaftlich sind. Dabei muss die kommunale Selbstständigkeit erhalten bleiben. Zwangsfusionen lehnen wir ab.</w:t>
      </w:r>
    </w:p>
    <w:p w14:paraId="4DBE7E68" w14:textId="77777777" w:rsidR="00AB6D84" w:rsidRDefault="00AB6D84"/>
    <w:sectPr w:rsidR="00AB6D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01"/>
    <w:rsid w:val="00365CDB"/>
    <w:rsid w:val="003B7666"/>
    <w:rsid w:val="00444FBC"/>
    <w:rsid w:val="00544125"/>
    <w:rsid w:val="00826ADC"/>
    <w:rsid w:val="00875401"/>
    <w:rsid w:val="00AB6D84"/>
    <w:rsid w:val="00D204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36BE"/>
  <w15:chartTrackingRefBased/>
  <w15:docId w15:val="{7914490D-7B6F-469C-BD22-1AA27F9D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5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5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54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54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54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540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540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540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540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54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54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54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54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54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54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54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54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5401"/>
    <w:rPr>
      <w:rFonts w:eastAsiaTheme="majorEastAsia" w:cstheme="majorBidi"/>
      <w:color w:val="272727" w:themeColor="text1" w:themeTint="D8"/>
    </w:rPr>
  </w:style>
  <w:style w:type="paragraph" w:styleId="Titel">
    <w:name w:val="Title"/>
    <w:basedOn w:val="Standard"/>
    <w:next w:val="Standard"/>
    <w:link w:val="TitelZchn"/>
    <w:uiPriority w:val="10"/>
    <w:qFormat/>
    <w:rsid w:val="00875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54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540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54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540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5401"/>
    <w:rPr>
      <w:i/>
      <w:iCs/>
      <w:color w:val="404040" w:themeColor="text1" w:themeTint="BF"/>
    </w:rPr>
  </w:style>
  <w:style w:type="paragraph" w:styleId="Listenabsatz">
    <w:name w:val="List Paragraph"/>
    <w:basedOn w:val="Standard"/>
    <w:uiPriority w:val="34"/>
    <w:qFormat/>
    <w:rsid w:val="00875401"/>
    <w:pPr>
      <w:ind w:left="720"/>
      <w:contextualSpacing/>
    </w:pPr>
  </w:style>
  <w:style w:type="character" w:styleId="IntensiveHervorhebung">
    <w:name w:val="Intense Emphasis"/>
    <w:basedOn w:val="Absatz-Standardschriftart"/>
    <w:uiPriority w:val="21"/>
    <w:qFormat/>
    <w:rsid w:val="00875401"/>
    <w:rPr>
      <w:i/>
      <w:iCs/>
      <w:color w:val="0F4761" w:themeColor="accent1" w:themeShade="BF"/>
    </w:rPr>
  </w:style>
  <w:style w:type="paragraph" w:styleId="IntensivesZitat">
    <w:name w:val="Intense Quote"/>
    <w:basedOn w:val="Standard"/>
    <w:next w:val="Standard"/>
    <w:link w:val="IntensivesZitatZchn"/>
    <w:uiPriority w:val="30"/>
    <w:qFormat/>
    <w:rsid w:val="00875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5401"/>
    <w:rPr>
      <w:i/>
      <w:iCs/>
      <w:color w:val="0F4761" w:themeColor="accent1" w:themeShade="BF"/>
    </w:rPr>
  </w:style>
  <w:style w:type="character" w:styleId="IntensiverVerweis">
    <w:name w:val="Intense Reference"/>
    <w:basedOn w:val="Absatz-Standardschriftart"/>
    <w:uiPriority w:val="32"/>
    <w:qFormat/>
    <w:rsid w:val="00875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7320</Characters>
  <Application>Microsoft Office Word</Application>
  <DocSecurity>0</DocSecurity>
  <Lines>61</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Brockmann</dc:creator>
  <cp:keywords/>
  <dc:description/>
  <cp:lastModifiedBy>JC Brockmann</cp:lastModifiedBy>
  <cp:revision>2</cp:revision>
  <dcterms:created xsi:type="dcterms:W3CDTF">2026-01-19T14:23:00Z</dcterms:created>
  <dcterms:modified xsi:type="dcterms:W3CDTF">2026-01-19T14:25:00Z</dcterms:modified>
</cp:coreProperties>
</file>